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591" w:rsidRDefault="002954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BC4591" w:rsidRDefault="00BC459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BC4591" w:rsidRDefault="002954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BC4591">
        <w:tc>
          <w:tcPr>
            <w:tcW w:w="2263" w:type="dxa"/>
          </w:tcPr>
          <w:p w:rsidR="00BC4591" w:rsidRDefault="0029541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BC4591" w:rsidRDefault="0029541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rsidR="00BC4591" w:rsidRDefault="002954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BC4591" w:rsidRDefault="00295412">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BC4591" w:rsidRDefault="002954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w:t>
      </w:r>
      <w:r>
        <w:rPr>
          <w:rFonts w:ascii="Arial" w:eastAsia="Arial" w:hAnsi="Arial" w:cs="Arial"/>
          <w:sz w:val="24"/>
          <w:szCs w:val="24"/>
        </w:rPr>
        <w:t>e protection of Personal Data.</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BC4591" w:rsidRDefault="00295412">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BC4591" w:rsidRDefault="00295412">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BC4591" w:rsidRDefault="00295412">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BC4591" w:rsidRDefault="00295412">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w:t>
      </w:r>
      <w:r>
        <w:rPr>
          <w:rFonts w:ascii="Arial" w:eastAsia="Arial" w:hAnsi="Arial" w:cs="Arial"/>
          <w:sz w:val="24"/>
          <w:szCs w:val="24"/>
        </w:rPr>
        <w:t xml:space="preserve">rocessor complies with its obligations under the Data Protection Legislation by providing an adequate level of protection to any Personal Data that is transferred (or, if it is not so bound, uses its best endeavours to assist the Controller in meeting its </w:t>
      </w:r>
      <w:r>
        <w:rPr>
          <w:rFonts w:ascii="Arial" w:eastAsia="Arial" w:hAnsi="Arial" w:cs="Arial"/>
          <w:sz w:val="24"/>
          <w:szCs w:val="24"/>
        </w:rPr>
        <w:t>obligations); and</w:t>
      </w:r>
    </w:p>
    <w:p w:rsidR="00BC4591" w:rsidRDefault="00295412">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w:t>
      </w:r>
      <w:r>
        <w:rPr>
          <w:rFonts w:ascii="Arial" w:eastAsia="Arial" w:hAnsi="Arial" w:cs="Arial"/>
          <w:sz w:val="24"/>
          <w:szCs w:val="24"/>
        </w:rPr>
        <w:t>ny copies of it) to the Controller on termination of the Contract unless the Processor is required by Law to retain the Personal Data.</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w:t>
      </w:r>
      <w:r>
        <w:rPr>
          <w:rFonts w:ascii="Arial" w:eastAsia="Arial" w:hAnsi="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6 of this Jo</w:t>
      </w:r>
      <w:r>
        <w:rPr>
          <w:rFonts w:ascii="Arial" w:eastAsia="Arial" w:hAnsi="Arial" w:cs="Arial"/>
          <w:sz w:val="24"/>
          <w:szCs w:val="24"/>
        </w:rPr>
        <w:t>int Schedule 11 (and insofar as possible within the timescales reasonably required by the Controller) including by immediately providing:</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such assistance as is reasonab</w:t>
      </w:r>
      <w:r>
        <w:rPr>
          <w:rFonts w:ascii="Arial" w:eastAsia="Arial" w:hAnsi="Arial" w:cs="Arial"/>
          <w:sz w:val="24"/>
          <w:szCs w:val="24"/>
        </w:rPr>
        <w:t xml:space="preserve">ly requested by the Controller to enable it to comply with a Data Subject Access Request within the relevant timescales set out in the Data Protection Legislation; </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w:t>
      </w:r>
      <w:r>
        <w:rPr>
          <w:rFonts w:ascii="Arial" w:eastAsia="Arial" w:hAnsi="Arial" w:cs="Arial"/>
          <w:sz w:val="24"/>
          <w:szCs w:val="24"/>
        </w:rPr>
        <w:t xml:space="preserve">ct; </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w:t>
      </w:r>
      <w:r>
        <w:rPr>
          <w:rFonts w:ascii="Arial" w:eastAsia="Arial" w:hAnsi="Arial" w:cs="Arial"/>
          <w:sz w:val="24"/>
          <w:szCs w:val="24"/>
        </w:rPr>
        <w:t>rmation Commissioner's Office.</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Controller determines that the Processing is not occasional;</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w:t>
      </w:r>
      <w:r>
        <w:rPr>
          <w:rFonts w:ascii="Arial" w:eastAsia="Arial" w:hAnsi="Arial" w:cs="Arial"/>
          <w:sz w:val="24"/>
          <w:szCs w:val="24"/>
        </w:rPr>
        <w:t xml:space="preserve"> that the Processing is likely to result in a risk to the rights and freedoms of Data Subjects.</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BC4591" w:rsidRDefault="00295412">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w:t>
      </w:r>
      <w:r>
        <w:rPr>
          <w:rFonts w:ascii="Arial" w:eastAsia="Arial" w:hAnsi="Arial" w:cs="Arial"/>
          <w:sz w:val="24"/>
          <w:szCs w:val="24"/>
        </w:rPr>
        <w:t>egarding the Subprocessor as the Controller may reasonably require.</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vise this Joint Schedule 11 by replacing it with any applicable controller to processor standard clauses or similar terms forming part of an applicable certification scheme (which shall apply when incorporated by attachment to the Contract).</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BC4591" w:rsidRDefault="002954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BC4591" w:rsidRDefault="002954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8 of this Joint Schedule 11 above, the recipient of the Personal Data will provide all such relevant documents and information relating </w:t>
      </w:r>
      <w:r>
        <w:rPr>
          <w:rFonts w:ascii="Arial" w:eastAsia="Arial" w:hAnsi="Arial" w:cs="Arial"/>
          <w:sz w:val="24"/>
          <w:szCs w:val="24"/>
        </w:rPr>
        <w:t>to its data protection policies and procedures as the other Party may reasonably require.</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Contra</w:t>
      </w:r>
      <w:r>
        <w:rPr>
          <w:rFonts w:ascii="Arial" w:eastAsia="Arial" w:hAnsi="Arial" w:cs="Arial"/>
          <w:sz w:val="24"/>
          <w:szCs w:val="24"/>
        </w:rPr>
        <w:t xml:space="preserve">ct.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ons, each Party shall, with respect to its Processing of Personal Data as Independent Controller, implement and maintain appropriate technical and organisational measures to ensure a level of security appropriate to that risk, including, as appropriate, th</w:t>
      </w:r>
      <w:r>
        <w:rPr>
          <w:rFonts w:ascii="Arial" w:eastAsia="Arial" w:hAnsi="Arial" w:cs="Arial"/>
          <w:sz w:val="24"/>
          <w:szCs w:val="24"/>
        </w:rPr>
        <w:t xml:space="preserve">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w:t>
      </w:r>
      <w:r>
        <w:rPr>
          <w:rFonts w:ascii="Arial" w:eastAsia="Arial" w:hAnsi="Arial" w:cs="Arial"/>
          <w:sz w:val="24"/>
          <w:szCs w:val="24"/>
        </w:rPr>
        <w:t>y requested by the Request Recipient to help it respond to the request or correspondence, at the cost of the Request Recipient; or</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w:t>
      </w:r>
      <w:r>
        <w:rPr>
          <w:rFonts w:ascii="Arial" w:eastAsia="Arial" w:hAnsi="Arial" w:cs="Arial"/>
          <w:sz w:val="24"/>
          <w:szCs w:val="24"/>
        </w:rPr>
        <w:t>sonal Data, the Request Recipient  will:</w:t>
      </w:r>
    </w:p>
    <w:p w:rsidR="00BC4591" w:rsidRDefault="00295412">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w:t>
      </w:r>
      <w:r>
        <w:rPr>
          <w:rFonts w:ascii="Arial" w:eastAsia="Arial" w:hAnsi="Arial" w:cs="Arial"/>
          <w:sz w:val="24"/>
          <w:szCs w:val="24"/>
        </w:rPr>
        <w:t xml:space="preserve"> Party; and</w:t>
      </w:r>
    </w:p>
    <w:p w:rsidR="00BC4591" w:rsidRDefault="00295412">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do all such things as reasonably necessary to assist the other Pa</w:t>
      </w:r>
      <w:r>
        <w:rPr>
          <w:rFonts w:ascii="Arial" w:eastAsia="Arial" w:hAnsi="Arial" w:cs="Arial"/>
          <w:sz w:val="24"/>
          <w:szCs w:val="24"/>
        </w:rPr>
        <w:t xml:space="preserve">rty in mitigating the effects of the Personal Data Breach; </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w:t>
      </w:r>
      <w:r>
        <w:rPr>
          <w:rFonts w:ascii="Arial" w:eastAsia="Arial" w:hAnsi="Arial" w:cs="Arial"/>
          <w:sz w:val="24"/>
          <w:szCs w:val="24"/>
        </w:rPr>
        <w:t>d affected Data Subjects in accordance with the Data Protection Legislation (including the timeframes set out therein); and</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w:t>
      </w:r>
      <w:r>
        <w:rPr>
          <w:rFonts w:ascii="Arial" w:eastAsia="Arial" w:hAnsi="Arial" w:cs="Arial"/>
          <w:sz w:val="24"/>
          <w:szCs w:val="24"/>
        </w:rPr>
        <w:t xml:space="preserve">e as required by Law.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w:t>
      </w:r>
      <w:r>
        <w:rPr>
          <w:rFonts w:ascii="Arial" w:eastAsia="Arial" w:hAnsi="Arial" w:cs="Arial"/>
          <w:sz w:val="24"/>
          <w:szCs w:val="24"/>
        </w:rPr>
        <w:t xml:space="preserve">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BC4591" w:rsidRDefault="00295412">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27 of this Joint Schedule 11.</w:t>
      </w:r>
    </w:p>
    <w:p w:rsidR="00BC4591" w:rsidRDefault="00BC4591">
      <w:pPr>
        <w:pBdr>
          <w:top w:val="nil"/>
          <w:left w:val="nil"/>
          <w:bottom w:val="nil"/>
          <w:right w:val="nil"/>
          <w:between w:val="nil"/>
        </w:pBdr>
        <w:spacing w:before="280" w:after="120"/>
        <w:ind w:left="709"/>
        <w:rPr>
          <w:rFonts w:ascii="Arial" w:eastAsia="Arial" w:hAnsi="Arial" w:cs="Arial"/>
          <w:sz w:val="24"/>
          <w:szCs w:val="24"/>
        </w:rPr>
      </w:pPr>
    </w:p>
    <w:p w:rsidR="00BC4591" w:rsidRDefault="00295412">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BC4591" w:rsidRDefault="00295412">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BC4591" w:rsidRDefault="00295412">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BC4591" w:rsidRDefault="00295412">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BC4591" w:rsidRDefault="00295412">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BC4591" w:rsidRDefault="00295412">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BC4591" w:rsidRDefault="00BC4591">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BC4591">
        <w:trPr>
          <w:trHeight w:val="700"/>
        </w:trPr>
        <w:tc>
          <w:tcPr>
            <w:tcW w:w="2263" w:type="dxa"/>
            <w:shd w:val="clear" w:color="auto" w:fill="BFBFBF"/>
            <w:vAlign w:val="center"/>
          </w:tcPr>
          <w:p w:rsidR="00BC4591" w:rsidRDefault="00295412">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BC4591" w:rsidRDefault="00295412">
            <w:pPr>
              <w:jc w:val="center"/>
              <w:rPr>
                <w:rFonts w:ascii="Arial" w:eastAsia="Arial" w:hAnsi="Arial" w:cs="Arial"/>
                <w:b/>
                <w:sz w:val="24"/>
                <w:szCs w:val="24"/>
              </w:rPr>
            </w:pPr>
            <w:r>
              <w:rPr>
                <w:rFonts w:ascii="Arial" w:eastAsia="Arial" w:hAnsi="Arial" w:cs="Arial"/>
                <w:b/>
                <w:sz w:val="24"/>
                <w:szCs w:val="24"/>
              </w:rPr>
              <w:t>Details</w:t>
            </w:r>
          </w:p>
        </w:tc>
      </w:tr>
      <w:tr w:rsidR="00BC4591">
        <w:trPr>
          <w:trHeight w:val="1620"/>
        </w:trPr>
        <w:tc>
          <w:tcPr>
            <w:tcW w:w="2263" w:type="dxa"/>
            <w:shd w:val="clear" w:color="auto" w:fill="auto"/>
          </w:tcPr>
          <w:p w:rsidR="00BC4591" w:rsidRDefault="0029541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BC4591" w:rsidRDefault="00295412">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BC4591" w:rsidRDefault="00295412">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BC4591" w:rsidRDefault="00BC4591">
            <w:pPr>
              <w:rPr>
                <w:rFonts w:ascii="Arial" w:eastAsia="Arial" w:hAnsi="Arial" w:cs="Arial"/>
                <w:sz w:val="24"/>
                <w:szCs w:val="24"/>
              </w:rPr>
            </w:pPr>
          </w:p>
          <w:p w:rsidR="00BC4591" w:rsidRDefault="00295412">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rsidR="00BC4591" w:rsidRDefault="00BC4591">
            <w:pPr>
              <w:rPr>
                <w:rFonts w:ascii="Arial" w:eastAsia="Arial" w:hAnsi="Arial" w:cs="Arial"/>
                <w:sz w:val="24"/>
                <w:szCs w:val="24"/>
              </w:rPr>
            </w:pPr>
          </w:p>
          <w:p w:rsidR="00BC4591" w:rsidRDefault="00295412">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BC4591" w:rsidRDefault="00BC4591">
            <w:pPr>
              <w:rPr>
                <w:rFonts w:ascii="Arial" w:eastAsia="Arial" w:hAnsi="Arial" w:cs="Arial"/>
                <w:i/>
                <w:sz w:val="24"/>
                <w:szCs w:val="24"/>
              </w:rPr>
            </w:pPr>
          </w:p>
          <w:p w:rsidR="00BC4591" w:rsidRDefault="00295412">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BC4591" w:rsidRDefault="00BC4591">
            <w:pPr>
              <w:rPr>
                <w:rFonts w:ascii="Arial" w:eastAsia="Arial" w:hAnsi="Arial" w:cs="Arial"/>
                <w:sz w:val="24"/>
                <w:szCs w:val="24"/>
              </w:rPr>
            </w:pPr>
          </w:p>
          <w:p w:rsidR="00BC4591" w:rsidRDefault="00295412">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rsidR="00BC4591" w:rsidRDefault="00BC4591">
            <w:pPr>
              <w:rPr>
                <w:rFonts w:ascii="Arial" w:eastAsia="Arial" w:hAnsi="Arial" w:cs="Arial"/>
                <w:sz w:val="24"/>
                <w:szCs w:val="24"/>
                <w:highlight w:val="yellow"/>
              </w:rPr>
            </w:pPr>
          </w:p>
          <w:p w:rsidR="00BC4591" w:rsidRDefault="00295412">
            <w:pPr>
              <w:rPr>
                <w:rFonts w:ascii="Arial" w:eastAsia="Arial" w:hAnsi="Arial" w:cs="Arial"/>
                <w:b/>
                <w:sz w:val="24"/>
                <w:szCs w:val="24"/>
              </w:rPr>
            </w:pPr>
            <w:r>
              <w:rPr>
                <w:rFonts w:ascii="Arial" w:eastAsia="Arial" w:hAnsi="Arial" w:cs="Arial"/>
                <w:b/>
                <w:sz w:val="24"/>
                <w:szCs w:val="24"/>
              </w:rPr>
              <w:lastRenderedPageBreak/>
              <w:t>The Parties are Joint Controllers</w:t>
            </w:r>
          </w:p>
          <w:p w:rsidR="00BC4591" w:rsidRDefault="00BC4591">
            <w:pPr>
              <w:rPr>
                <w:rFonts w:ascii="Arial" w:eastAsia="Arial" w:hAnsi="Arial" w:cs="Arial"/>
                <w:i/>
                <w:sz w:val="24"/>
                <w:szCs w:val="24"/>
              </w:rPr>
            </w:pPr>
          </w:p>
          <w:p w:rsidR="00BC4591" w:rsidRDefault="00295412">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BC4591" w:rsidRDefault="00BC4591">
            <w:pPr>
              <w:rPr>
                <w:rFonts w:ascii="Arial" w:eastAsia="Arial" w:hAnsi="Arial" w:cs="Arial"/>
                <w:b/>
                <w:i/>
                <w:sz w:val="24"/>
                <w:szCs w:val="24"/>
                <w:highlight w:val="yellow"/>
              </w:rPr>
            </w:pPr>
          </w:p>
          <w:p w:rsidR="00BC4591" w:rsidRDefault="00295412">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rsidR="00BC4591" w:rsidRDefault="00BC4591">
            <w:pPr>
              <w:rPr>
                <w:rFonts w:ascii="Arial" w:eastAsia="Arial" w:hAnsi="Arial" w:cs="Arial"/>
                <w:i/>
                <w:sz w:val="24"/>
                <w:szCs w:val="24"/>
              </w:rPr>
            </w:pPr>
          </w:p>
          <w:p w:rsidR="00BC4591" w:rsidRDefault="00295412">
            <w:pPr>
              <w:rPr>
                <w:rFonts w:ascii="Arial" w:eastAsia="Arial" w:hAnsi="Arial" w:cs="Arial"/>
                <w:i/>
                <w:sz w:val="24"/>
                <w:szCs w:val="24"/>
              </w:rPr>
            </w:pPr>
            <w:r>
              <w:rPr>
                <w:rFonts w:ascii="Arial" w:eastAsia="Arial" w:hAnsi="Arial" w:cs="Arial"/>
                <w:i/>
                <w:sz w:val="24"/>
                <w:szCs w:val="24"/>
              </w:rPr>
              <w:t xml:space="preserve"> </w:t>
            </w:r>
          </w:p>
          <w:p w:rsidR="00BC4591" w:rsidRDefault="00295412">
            <w:pPr>
              <w:rPr>
                <w:rFonts w:ascii="Arial" w:eastAsia="Arial" w:hAnsi="Arial" w:cs="Arial"/>
                <w:b/>
                <w:sz w:val="24"/>
                <w:szCs w:val="24"/>
              </w:rPr>
            </w:pPr>
            <w:r>
              <w:rPr>
                <w:rFonts w:ascii="Arial" w:eastAsia="Arial" w:hAnsi="Arial" w:cs="Arial"/>
                <w:b/>
                <w:sz w:val="24"/>
                <w:szCs w:val="24"/>
              </w:rPr>
              <w:t>The Parties are Independent Controllers of Personal Data</w:t>
            </w:r>
          </w:p>
          <w:p w:rsidR="00BC4591" w:rsidRDefault="00BC4591">
            <w:pPr>
              <w:rPr>
                <w:rFonts w:ascii="Arial" w:eastAsia="Arial" w:hAnsi="Arial" w:cs="Arial"/>
                <w:b/>
                <w:i/>
                <w:sz w:val="24"/>
                <w:szCs w:val="24"/>
                <w:highlight w:val="yellow"/>
              </w:rPr>
            </w:pPr>
          </w:p>
          <w:p w:rsidR="00BC4591" w:rsidRDefault="00295412">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BC4591" w:rsidRDefault="00295412">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BC4591" w:rsidRDefault="00295412">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w:t>
            </w:r>
            <w:r>
              <w:rPr>
                <w:rFonts w:ascii="Arial" w:eastAsia="Arial" w:hAnsi="Arial" w:cs="Arial"/>
                <w:i/>
                <w:color w:val="000000"/>
                <w:sz w:val="24"/>
                <w:szCs w:val="24"/>
              </w:rPr>
              <w:t xml:space="preserve"> the performance of the Relevant Authority’s duties under the Contract) for which the Relevant Authority is the Controller,</w:t>
            </w:r>
          </w:p>
          <w:p w:rsidR="00BC4591" w:rsidRDefault="00295412">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regulatory obli</w:t>
            </w:r>
            <w:r>
              <w:rPr>
                <w:rFonts w:ascii="Arial" w:eastAsia="Arial" w:hAnsi="Arial" w:cs="Arial"/>
                <w:i/>
                <w:color w:val="000000"/>
                <w:sz w:val="24"/>
                <w:szCs w:val="24"/>
              </w:rPr>
              <w:t xml:space="preserve">gations in respect of Personal Data received, (2) a standardised service is such that the Relevant Authority cannot dictate the way in which Personal Data is processed by the Supplier, or (3) where the  Supplier comes to the transaction with Personal Data </w:t>
            </w:r>
            <w:r>
              <w:rPr>
                <w:rFonts w:ascii="Arial" w:eastAsia="Arial" w:hAnsi="Arial" w:cs="Arial"/>
                <w:i/>
                <w:color w:val="000000"/>
                <w:sz w:val="24"/>
                <w:szCs w:val="24"/>
              </w:rPr>
              <w:t xml:space="preserve">for which it is already Controller for use by the Relevant Authority] </w:t>
            </w:r>
          </w:p>
          <w:p w:rsidR="00BC4591" w:rsidRDefault="00295412">
            <w:pPr>
              <w:rPr>
                <w:rFonts w:ascii="Arial" w:eastAsia="Arial" w:hAnsi="Arial" w:cs="Arial"/>
                <w:i/>
                <w:sz w:val="24"/>
                <w:szCs w:val="24"/>
              </w:rPr>
            </w:pPr>
            <w:r>
              <w:rPr>
                <w:rFonts w:ascii="Arial" w:eastAsia="Arial" w:hAnsi="Arial" w:cs="Arial"/>
                <w:i/>
                <w:sz w:val="24"/>
                <w:szCs w:val="24"/>
              </w:rPr>
              <w:t xml:space="preserve"> </w:t>
            </w:r>
          </w:p>
          <w:p w:rsidR="00BC4591" w:rsidRDefault="00295412">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BC4591" w:rsidRDefault="00BC4591">
            <w:pPr>
              <w:rPr>
                <w:rFonts w:ascii="Arial" w:eastAsia="Arial" w:hAnsi="Arial" w:cs="Arial"/>
                <w:sz w:val="24"/>
                <w:szCs w:val="24"/>
              </w:rPr>
            </w:pPr>
          </w:p>
        </w:tc>
      </w:tr>
      <w:tr w:rsidR="00BC4591">
        <w:trPr>
          <w:trHeight w:val="1460"/>
        </w:trPr>
        <w:tc>
          <w:tcPr>
            <w:tcW w:w="2263" w:type="dxa"/>
            <w:shd w:val="clear" w:color="auto" w:fill="auto"/>
          </w:tcPr>
          <w:p w:rsidR="00BC4591" w:rsidRDefault="00295412">
            <w:pPr>
              <w:rPr>
                <w:rFonts w:ascii="Arial" w:eastAsia="Arial" w:hAnsi="Arial" w:cs="Arial"/>
                <w:sz w:val="24"/>
                <w:szCs w:val="24"/>
              </w:rPr>
            </w:pPr>
            <w:r>
              <w:rPr>
                <w:rFonts w:ascii="Arial" w:eastAsia="Arial" w:hAnsi="Arial" w:cs="Arial"/>
                <w:sz w:val="24"/>
                <w:szCs w:val="24"/>
              </w:rPr>
              <w:lastRenderedPageBreak/>
              <w:t>Duration of the Proces</w:t>
            </w:r>
            <w:r>
              <w:rPr>
                <w:rFonts w:ascii="Arial" w:eastAsia="Arial" w:hAnsi="Arial" w:cs="Arial"/>
                <w:sz w:val="24"/>
                <w:szCs w:val="24"/>
              </w:rPr>
              <w:t>sing</w:t>
            </w:r>
          </w:p>
        </w:tc>
        <w:tc>
          <w:tcPr>
            <w:tcW w:w="7423" w:type="dxa"/>
            <w:shd w:val="clear" w:color="auto" w:fill="auto"/>
          </w:tcPr>
          <w:p w:rsidR="00BC4591" w:rsidRDefault="00295412">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BC4591">
        <w:trPr>
          <w:trHeight w:val="1520"/>
        </w:trPr>
        <w:tc>
          <w:tcPr>
            <w:tcW w:w="2263" w:type="dxa"/>
            <w:shd w:val="clear" w:color="auto" w:fill="auto"/>
          </w:tcPr>
          <w:p w:rsidR="00BC4591" w:rsidRDefault="00295412">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BC4591" w:rsidRDefault="00295412">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BC4591" w:rsidRDefault="00295412">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rsidR="00BC4591" w:rsidRDefault="00295412">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BC4591">
        <w:trPr>
          <w:trHeight w:val="1400"/>
        </w:trPr>
        <w:tc>
          <w:tcPr>
            <w:tcW w:w="2263" w:type="dxa"/>
            <w:shd w:val="clear" w:color="auto" w:fill="auto"/>
          </w:tcPr>
          <w:p w:rsidR="00BC4591" w:rsidRDefault="00295412">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BC4591" w:rsidRDefault="00295412">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BC4591">
        <w:trPr>
          <w:trHeight w:val="1560"/>
        </w:trPr>
        <w:tc>
          <w:tcPr>
            <w:tcW w:w="2263" w:type="dxa"/>
            <w:shd w:val="clear" w:color="auto" w:fill="auto"/>
          </w:tcPr>
          <w:p w:rsidR="00BC4591" w:rsidRDefault="00295412">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BC4591" w:rsidRDefault="00295412">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BC4591">
        <w:trPr>
          <w:trHeight w:val="1660"/>
        </w:trPr>
        <w:tc>
          <w:tcPr>
            <w:tcW w:w="2263" w:type="dxa"/>
            <w:shd w:val="clear" w:color="auto" w:fill="auto"/>
          </w:tcPr>
          <w:p w:rsidR="00BC4591" w:rsidRDefault="00295412">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BC4591" w:rsidRDefault="00295412">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BC4591" w:rsidRDefault="00295412">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BC4591" w:rsidRDefault="00BC4591">
      <w:pPr>
        <w:rPr>
          <w:rFonts w:ascii="Arial" w:eastAsia="Arial" w:hAnsi="Arial" w:cs="Arial"/>
          <w:b/>
          <w:sz w:val="24"/>
          <w:szCs w:val="24"/>
        </w:rPr>
      </w:pPr>
    </w:p>
    <w:p w:rsidR="00BC4591" w:rsidRDefault="00295412">
      <w:pPr>
        <w:rPr>
          <w:rFonts w:ascii="Arial" w:eastAsia="Arial" w:hAnsi="Arial" w:cs="Arial"/>
          <w:b/>
          <w:sz w:val="24"/>
          <w:szCs w:val="24"/>
        </w:rPr>
      </w:pPr>
      <w:r>
        <w:br w:type="page"/>
      </w:r>
    </w:p>
    <w:p w:rsidR="00BC4591" w:rsidRDefault="00295412">
      <w:pPr>
        <w:rPr>
          <w:rFonts w:ascii="Arial" w:eastAsia="Arial" w:hAnsi="Arial" w:cs="Arial"/>
          <w:sz w:val="24"/>
          <w:szCs w:val="24"/>
        </w:rPr>
      </w:pPr>
      <w:r>
        <w:rPr>
          <w:rFonts w:ascii="Arial" w:eastAsia="Arial" w:hAnsi="Arial" w:cs="Arial"/>
          <w:b/>
          <w:sz w:val="24"/>
          <w:szCs w:val="24"/>
        </w:rPr>
        <w:lastRenderedPageBreak/>
        <w:t>Annex 2 - Joint Controller Agreement</w:t>
      </w:r>
    </w:p>
    <w:p w:rsidR="00BC4591" w:rsidRDefault="00295412">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BC4591" w:rsidRDefault="00295412">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w:t>
      </w:r>
      <w:r>
        <w:rPr>
          <w:rFonts w:ascii="Arial" w:eastAsia="Arial" w:hAnsi="Arial" w:cs="Arial"/>
          <w:sz w:val="24"/>
          <w:szCs w:val="24"/>
        </w:rPr>
        <w:t>onal Data in accordance with the terms of this Annex 2 (Joint Controller Agreement) in replacement of paragraphs 2-15 of Joint Schedule 11 (Where one Party is Controller and the other Party is Processor) and paragraphs 7-27 of Joint Schedule 11 (Independen</w:t>
      </w:r>
      <w:r>
        <w:rPr>
          <w:rFonts w:ascii="Arial" w:eastAsia="Arial" w:hAnsi="Arial" w:cs="Arial"/>
          <w:sz w:val="24"/>
          <w:szCs w:val="24"/>
        </w:rPr>
        <w:t xml:space="preserve">t Controllers of Personal Data). Accordingly, the Parties each undertake to comply with the applicable Data Protection Legislation in respect of their Processing of such Personal Data as Data Controllers. </w:t>
      </w:r>
    </w:p>
    <w:p w:rsidR="00BC4591" w:rsidRDefault="00295412">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w:t>
      </w:r>
      <w:r>
        <w:rPr>
          <w:rFonts w:ascii="Arial" w:eastAsia="Arial" w:hAnsi="Arial" w:cs="Arial"/>
          <w:sz w:val="24"/>
          <w:szCs w:val="24"/>
          <w:highlight w:val="yellow"/>
        </w:rPr>
        <w:t xml:space="preserve">Authority]: </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w:t>
      </w:r>
      <w:r>
        <w:rPr>
          <w:rFonts w:ascii="Arial" w:eastAsia="Arial" w:hAnsi="Arial" w:cs="Arial"/>
          <w:sz w:val="24"/>
          <w:szCs w:val="24"/>
          <w:highlight w:val="white"/>
        </w:rPr>
        <w:t>ion Officer or suitable alternative in connection with the exercise of their rights as Data Subjects and for any enquiries concerning their Personal Data or privacy;</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w:t>
      </w:r>
      <w:r>
        <w:rPr>
          <w:rFonts w:ascii="Arial" w:eastAsia="Arial" w:hAnsi="Arial" w:cs="Arial"/>
          <w:sz w:val="24"/>
          <w:szCs w:val="24"/>
        </w:rPr>
        <w:t>o Data Subjects under Articles 13 and 14 of the UK GDPR;</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w:t>
      </w:r>
      <w:r>
        <w:rPr>
          <w:rFonts w:ascii="Arial" w:eastAsia="Arial" w:hAnsi="Arial" w:cs="Arial"/>
          <w:sz w:val="24"/>
          <w:szCs w:val="24"/>
        </w:rPr>
        <w:t>at Processing; and</w:t>
      </w:r>
    </w:p>
    <w:p w:rsidR="00BC4591" w:rsidRDefault="00295412">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w:t>
      </w:r>
      <w:r>
        <w:rPr>
          <w:rFonts w:ascii="Arial" w:eastAsia="Arial" w:hAnsi="Arial" w:cs="Arial"/>
          <w:sz w:val="24"/>
          <w:szCs w:val="24"/>
        </w:rPr>
        <w:t>their best endeavours to agree the terms of that essence. This must be outlined in the [Supplier’s/Relevant Authority’s] privacy policy (which must be readily available by hyperlink or otherwise on all of its public facing services and marketing).</w:t>
      </w:r>
    </w:p>
    <w:p w:rsidR="00BC4591" w:rsidRDefault="00295412">
      <w:pPr>
        <w:rPr>
          <w:rFonts w:ascii="Arial" w:eastAsia="Arial" w:hAnsi="Arial" w:cs="Arial"/>
          <w:sz w:val="24"/>
          <w:szCs w:val="24"/>
        </w:rPr>
      </w:pPr>
      <w:r>
        <w:rPr>
          <w:rFonts w:ascii="Arial" w:eastAsia="Arial" w:hAnsi="Arial" w:cs="Arial"/>
          <w:sz w:val="24"/>
          <w:szCs w:val="24"/>
        </w:rPr>
        <w:t>1.3 Notw</w:t>
      </w:r>
      <w:r>
        <w:rPr>
          <w:rFonts w:ascii="Arial" w:eastAsia="Arial" w:hAnsi="Arial" w:cs="Arial"/>
          <w:sz w:val="24"/>
          <w:szCs w:val="24"/>
        </w:rPr>
        <w:t>ithstanding the terms of clause 1.2, the Parties acknowledge that a Data Subject has the right to exercise their legal rights under the Data Protection Legislation as against the relevant Party as Controller.</w:t>
      </w:r>
    </w:p>
    <w:p w:rsidR="00BC4591" w:rsidRDefault="00295412">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the volume of Data Subject Access Request (or purported Data Subject  Access Requests) from Data Subjects (or third parties on their behalf);</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w:t>
      </w:r>
      <w:r>
        <w:rPr>
          <w:rFonts w:ascii="Arial" w:eastAsia="Arial" w:hAnsi="Arial" w:cs="Arial"/>
          <w:sz w:val="24"/>
          <w:szCs w:val="24"/>
        </w:rPr>
        <w:t>r any other regulatory authority in connection with Personal Data; and</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BC4591" w:rsidRDefault="00295412">
      <w:pPr>
        <w:ind w:left="720"/>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w:t>
      </w:r>
      <w:r>
        <w:rPr>
          <w:rFonts w:ascii="Arial" w:eastAsia="Arial" w:hAnsi="Arial" w:cs="Arial"/>
          <w:sz w:val="24"/>
          <w:szCs w:val="24"/>
        </w:rPr>
        <w:t xml:space="preserve">the subject matter of the Contract during that period; </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w:t>
      </w:r>
      <w:r>
        <w:rPr>
          <w:rFonts w:ascii="Arial" w:eastAsia="Arial" w:hAnsi="Arial" w:cs="Arial"/>
          <w:sz w:val="24"/>
          <w:szCs w:val="24"/>
        </w:rPr>
        <w:t>elation to any request, complaint or communication made as referred to in Clauses 2.1(a)(iii) to (v) to enable the other Party to comply with the relevant timescales set out in the Data Protection Legislation;</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disclose or transfer the Personal Data to </w:t>
      </w:r>
      <w:r>
        <w:rPr>
          <w:rFonts w:ascii="Arial" w:eastAsia="Arial" w:hAnsi="Arial" w:cs="Arial"/>
          <w:sz w:val="24"/>
          <w:szCs w:val="24"/>
        </w:rPr>
        <w:t>any third party unless necessary for the provision of the Deliverables and, for any disclosure or transfer of Personal Data to any third party, (save where such disclosure or transfer is specifically authorised under the Contract or is required by Law) ens</w:t>
      </w:r>
      <w:r>
        <w:rPr>
          <w:rFonts w:ascii="Arial" w:eastAsia="Arial" w:hAnsi="Arial" w:cs="Arial"/>
          <w:sz w:val="24"/>
          <w:szCs w:val="24"/>
        </w:rPr>
        <w:t xml:space="preserve">ure consent has been obtained from the Data Subject prior to disclosing or transferring the Personal Data to the third party. For the avoidance of doubt, the third party to which Personal Data is transferred must be subject to equivalent obligations which </w:t>
      </w:r>
      <w:r>
        <w:rPr>
          <w:rFonts w:ascii="Arial" w:eastAsia="Arial" w:hAnsi="Arial" w:cs="Arial"/>
          <w:sz w:val="24"/>
          <w:szCs w:val="24"/>
        </w:rPr>
        <w:t>are no less onerous than those set out in this Annex;</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w:t>
      </w:r>
      <w:r>
        <w:rPr>
          <w:rFonts w:ascii="Arial" w:eastAsia="Arial" w:hAnsi="Arial" w:cs="Arial"/>
          <w:sz w:val="24"/>
          <w:szCs w:val="24"/>
        </w:rPr>
        <w:t>e appropriate Protective Measures to guard against unauthorised or unlawful Processing of the Personal Data and/or accidental loss, destruction or damage to the Personal Data and unauthorised or unlawful disclosure of or access to the Personal Data;</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w:t>
      </w:r>
      <w:r>
        <w:rPr>
          <w:rFonts w:ascii="Arial" w:eastAsia="Arial" w:hAnsi="Arial" w:cs="Arial"/>
          <w:sz w:val="24"/>
          <w:szCs w:val="24"/>
        </w:rPr>
        <w:t>ll reasonable steps to ensure the reliability and integrity of any of its Personnel who have access to the Personal Data and ensure that its Personnel:</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 2 (Joint Controller Agreement) and those in r</w:t>
      </w:r>
      <w:r>
        <w:rPr>
          <w:rFonts w:ascii="Arial" w:eastAsia="Arial" w:hAnsi="Arial" w:cs="Arial"/>
          <w:sz w:val="24"/>
          <w:szCs w:val="24"/>
        </w:rPr>
        <w:t xml:space="preserve">espect of Confidential Information; </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the that </w:t>
      </w:r>
      <w:r>
        <w:rPr>
          <w:rFonts w:ascii="Arial" w:eastAsia="Arial" w:hAnsi="Arial" w:cs="Arial"/>
          <w:sz w:val="24"/>
          <w:szCs w:val="24"/>
        </w:rPr>
        <w:t>Party would not be permitted to do so; and</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w:t>
      </w:r>
      <w:r>
        <w:rPr>
          <w:rFonts w:ascii="Arial" w:eastAsia="Arial" w:hAnsi="Arial" w:cs="Arial"/>
          <w:sz w:val="24"/>
          <w:szCs w:val="24"/>
        </w:rPr>
        <w:t>; and</w:t>
      </w:r>
    </w:p>
    <w:p w:rsidR="00BC4591" w:rsidRDefault="0029541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w:t>
      </w:r>
      <w:r>
        <w:rPr>
          <w:rFonts w:ascii="Arial" w:eastAsia="Arial" w:hAnsi="Arial" w:cs="Arial"/>
          <w:sz w:val="24"/>
          <w:szCs w:val="24"/>
        </w:rPr>
        <w:t>s; and</w:t>
      </w:r>
    </w:p>
    <w:p w:rsidR="00BC4591" w:rsidRDefault="002954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w:t>
      </w:r>
      <w:r>
        <w:rPr>
          <w:rFonts w:ascii="Arial" w:eastAsia="Arial" w:hAnsi="Arial" w:cs="Arial"/>
          <w:color w:val="000000"/>
          <w:sz w:val="24"/>
          <w:szCs w:val="24"/>
        </w:rPr>
        <w:t>Legislation and shall not perform its obligations under this Annex in such a way as to cause the other Joint Controller to breach any of its obligations under applicable Data Protection Legislation to the extent it is aware, or ought reasonably to have bee</w:t>
      </w:r>
      <w:r>
        <w:rPr>
          <w:rFonts w:ascii="Arial" w:eastAsia="Arial" w:hAnsi="Arial" w:cs="Arial"/>
          <w:color w:val="000000"/>
          <w:sz w:val="24"/>
          <w:szCs w:val="24"/>
        </w:rPr>
        <w:t>n aware, that the same would be a breach of such obligations.</w:t>
      </w:r>
    </w:p>
    <w:p w:rsidR="00BC4591" w:rsidRDefault="00295412">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BC4591" w:rsidRDefault="002954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BC4591" w:rsidRDefault="002954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BC4591" w:rsidRDefault="00295412">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BC4591" w:rsidRDefault="00295412">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BC4591" w:rsidRDefault="00295412">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BC4591" w:rsidRDefault="00295412">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providing</w:t>
      </w:r>
      <w:proofErr w:type="gramEnd"/>
      <w:r>
        <w:rPr>
          <w:rFonts w:ascii="Arial" w:eastAsia="Arial" w:hAnsi="Arial" w:cs="Arial"/>
          <w:sz w:val="24"/>
          <w:szCs w:val="24"/>
        </w:rPr>
        <w:t xml:space="preserve">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BC4591" w:rsidRDefault="0029541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BC4591" w:rsidRDefault="0029541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BC4591" w:rsidRDefault="0029541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BC4591" w:rsidRDefault="0029541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BC4591" w:rsidRDefault="0029541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BC4591" w:rsidRDefault="0029541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rsidR="00BC4591" w:rsidRDefault="00295412">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BC4591" w:rsidRDefault="00295412">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BC4591" w:rsidRDefault="00295412">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BC4591" w:rsidRDefault="00BC4591">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BC4591" w:rsidRDefault="00295412">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BC4591" w:rsidRDefault="0029541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BC4591" w:rsidRDefault="00BC4591">
      <w:pPr>
        <w:pBdr>
          <w:top w:val="nil"/>
          <w:left w:val="nil"/>
          <w:bottom w:val="nil"/>
          <w:right w:val="nil"/>
          <w:between w:val="nil"/>
        </w:pBdr>
        <w:spacing w:after="80"/>
        <w:ind w:left="11"/>
        <w:rPr>
          <w:rFonts w:ascii="Arial" w:eastAsia="Arial" w:hAnsi="Arial" w:cs="Arial"/>
          <w:sz w:val="24"/>
          <w:szCs w:val="24"/>
        </w:rPr>
      </w:pPr>
    </w:p>
    <w:p w:rsidR="00BC4591" w:rsidRDefault="00295412">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and complete records of all Processing carried out in respect of the Personal Data in connection with the Contract, in accordance with the terms of Article 30 UK GDPR.</w:t>
      </w:r>
    </w:p>
    <w:p w:rsidR="00BC4591" w:rsidRDefault="00BC4591">
      <w:pPr>
        <w:keepNext/>
        <w:rPr>
          <w:rFonts w:ascii="Arial" w:eastAsia="Arial" w:hAnsi="Arial" w:cs="Arial"/>
          <w:sz w:val="24"/>
          <w:szCs w:val="24"/>
        </w:rPr>
      </w:pPr>
    </w:p>
    <w:p w:rsidR="00BC4591" w:rsidRDefault="00295412">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BC4591" w:rsidRDefault="00295412">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BC4591" w:rsidRDefault="00295412">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BC4591" w:rsidRDefault="00295412">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This clause represents a risk share, you may wish to reconsider the apportionment of liability and whether recoverability of losses are likely to b</w:t>
      </w:r>
      <w:r>
        <w:rPr>
          <w:rFonts w:ascii="Arial" w:eastAsia="Arial" w:hAnsi="Arial" w:cs="Arial"/>
          <w:sz w:val="24"/>
          <w:szCs w:val="24"/>
        </w:rPr>
        <w:t xml:space="preserve">e hindered by the contractual limitation of liability provisions] </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BC4591" w:rsidRDefault="00295412">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Su</w:t>
      </w:r>
      <w:r>
        <w:rPr>
          <w:rFonts w:ascii="Arial" w:eastAsia="Arial" w:hAnsi="Arial" w:cs="Arial"/>
          <w:sz w:val="24"/>
          <w:szCs w:val="24"/>
        </w:rPr>
        <w:t>pplier) or systems and procedures controlled by the Relevant Authority, then the Relevant Authority shall be responsible for the payment of such Financial Penalties. In this case, the Relevant Authority will conduct an internal audit and engage at its reas</w:t>
      </w:r>
      <w:r>
        <w:rPr>
          <w:rFonts w:ascii="Arial" w:eastAsia="Arial" w:hAnsi="Arial" w:cs="Arial"/>
          <w:sz w:val="24"/>
          <w:szCs w:val="24"/>
        </w:rPr>
        <w:t>onable cost when necessary, an independent third party to conduct an audit of any such Personal Data Breach. The Supplier shall provide to the Relevant Authority and its third party investigators and auditors, on request and at the Supplier's reasonable co</w:t>
      </w:r>
      <w:r>
        <w:rPr>
          <w:rFonts w:ascii="Arial" w:eastAsia="Arial" w:hAnsi="Arial" w:cs="Arial"/>
          <w:sz w:val="24"/>
          <w:szCs w:val="24"/>
        </w:rPr>
        <w:t xml:space="preserve">st, full cooperation and access to conduct a thorough audit of such Personal Data Breach; </w:t>
      </w:r>
    </w:p>
    <w:p w:rsidR="00BC4591" w:rsidRDefault="00295412">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Relevant </w:t>
      </w:r>
      <w:r>
        <w:rPr>
          <w:rFonts w:ascii="Arial" w:eastAsia="Arial" w:hAnsi="Arial" w:cs="Arial"/>
          <w:sz w:val="24"/>
          <w:szCs w:val="24"/>
        </w:rPr>
        <w:t>Authority is responsible for, then the Supplier shall be responsible for the payment of these Financial Penalties. The Supplier will provide to the Relevant Authority and its auditors, on request and at the Supplier’s sole cost, full cooperation and access</w:t>
      </w:r>
      <w:r>
        <w:rPr>
          <w:rFonts w:ascii="Arial" w:eastAsia="Arial" w:hAnsi="Arial" w:cs="Arial"/>
          <w:sz w:val="24"/>
          <w:szCs w:val="24"/>
        </w:rPr>
        <w:t xml:space="preserve"> to conduct a thorough audit of such Personal Data Breach; or</w:t>
      </w:r>
    </w:p>
    <w:p w:rsidR="00BC4591" w:rsidRDefault="00295412">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w:t>
      </w:r>
      <w:r>
        <w:rPr>
          <w:rFonts w:ascii="Arial" w:eastAsia="Arial" w:hAnsi="Arial" w:cs="Arial"/>
          <w:sz w:val="24"/>
          <w:szCs w:val="24"/>
        </w:rPr>
        <w:t>d allocate responsibility for any Financial Penalties as outlined above, or by agreement to split any financial penalties equally if no responsibility for the Personal Data Breach can be apportioned. In the event that the Parties do not agree such apportio</w:t>
      </w:r>
      <w:r>
        <w:rPr>
          <w:rFonts w:ascii="Arial" w:eastAsia="Arial" w:hAnsi="Arial" w:cs="Arial"/>
          <w:sz w:val="24"/>
          <w:szCs w:val="24"/>
        </w:rPr>
        <w:t xml:space="preserve">nment then such Dispute shall be referred to the Dispute Resolution Procedure set out in Clause 34 of the Core Terms (Resolving disputes). </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either the Relevant Authority or the Supplier is the defendant in a legal claim brought before a court of compete</w:t>
      </w:r>
      <w:r>
        <w:rPr>
          <w:rFonts w:ascii="Arial" w:eastAsia="Arial" w:hAnsi="Arial" w:cs="Arial"/>
          <w:color w:val="000000"/>
          <w:sz w:val="24"/>
          <w:szCs w:val="24"/>
        </w:rPr>
        <w:t>nt jurisdiction (“Court”) by a third party in respect of a Personal Data Breach, then unless the Parties otherwise agree, the Party that is determined by the final decision of the court to be responsible for the Personal Data Breach shall be liable for the</w:t>
      </w:r>
      <w:r>
        <w:rPr>
          <w:rFonts w:ascii="Arial" w:eastAsia="Arial" w:hAnsi="Arial" w:cs="Arial"/>
          <w:color w:val="000000"/>
          <w:sz w:val="24"/>
          <w:szCs w:val="24"/>
        </w:rPr>
        <w:t xml:space="preserve"> losses arising from such Personal Data Breach. Where both Parties are liable, the liability will be apportioned between the Parties in accordance with the decision of the Court.  </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respect of any losses, cost claims or expenses incurred by either Party </w:t>
      </w:r>
      <w:r>
        <w:rPr>
          <w:rFonts w:ascii="Arial" w:eastAsia="Arial" w:hAnsi="Arial" w:cs="Arial"/>
          <w:color w:val="000000"/>
          <w:sz w:val="24"/>
          <w:szCs w:val="24"/>
        </w:rPr>
        <w:t>as a result of a Personal Data Breach (the “Claim Losses”):</w:t>
      </w:r>
    </w:p>
    <w:p w:rsidR="00BC4591" w:rsidRDefault="002954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BC4591" w:rsidRDefault="002954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w:t>
      </w:r>
      <w:r>
        <w:rPr>
          <w:rFonts w:ascii="Arial" w:eastAsia="Arial" w:hAnsi="Arial" w:cs="Arial"/>
          <w:sz w:val="24"/>
          <w:szCs w:val="24"/>
        </w:rPr>
        <w:t>nt Personal Data Breach, then the Supplier shall be responsible for the Claim Losses: and</w:t>
      </w:r>
    </w:p>
    <w:p w:rsidR="00BC4591" w:rsidRDefault="002954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if</w:t>
      </w:r>
      <w:proofErr w:type="gramEnd"/>
      <w:r>
        <w:rPr>
          <w:rFonts w:ascii="Arial" w:eastAsia="Arial" w:hAnsi="Arial" w:cs="Arial"/>
          <w:sz w:val="24"/>
          <w:szCs w:val="24"/>
        </w:rPr>
        <w:t xml:space="preserve"> responsibility for the relevant Personal Data Breach is unclear, then the Relevant Authority and the Supplier shall be responsible for the Claim Losses equally. </w:t>
      </w:r>
    </w:p>
    <w:p w:rsidR="00BC4591" w:rsidRDefault="00BC4591">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BC4591" w:rsidRDefault="00295412">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BC4591" w:rsidRDefault="00295412">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BC4591" w:rsidRDefault="00295412">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w:t>
      </w:r>
      <w:r>
        <w:rPr>
          <w:rFonts w:ascii="Arial" w:eastAsia="Arial" w:hAnsi="Arial" w:cs="Arial"/>
          <w:b/>
          <w:color w:val="000000"/>
          <w:sz w:val="24"/>
          <w:szCs w:val="24"/>
        </w:rPr>
        <w:t>rocessing</w:t>
      </w:r>
    </w:p>
    <w:p w:rsidR="00BC4591" w:rsidRDefault="00295412">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BC4591" w:rsidRDefault="00295412">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w:t>
      </w:r>
      <w:r>
        <w:rPr>
          <w:rFonts w:ascii="Arial" w:eastAsia="Arial" w:hAnsi="Arial" w:cs="Arial"/>
          <w:sz w:val="24"/>
          <w:szCs w:val="24"/>
        </w:rPr>
        <w:t>quested; and</w:t>
      </w:r>
    </w:p>
    <w:p w:rsidR="00BC4591" w:rsidRDefault="00295412">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rsidR="00BC4591" w:rsidRDefault="00BC4591">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BC4591" w:rsidRDefault="00295412">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BC4591" w:rsidRDefault="00295412">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BC4591" w:rsidRDefault="00BC4591">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BC4591" w:rsidRDefault="00BC4591">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BC459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412" w:rsidRDefault="00295412">
      <w:pPr>
        <w:spacing w:after="0" w:line="240" w:lineRule="auto"/>
      </w:pPr>
      <w:r>
        <w:separator/>
      </w:r>
    </w:p>
  </w:endnote>
  <w:endnote w:type="continuationSeparator" w:id="0">
    <w:p w:rsidR="00295412" w:rsidRDefault="00295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E42" w:rsidRDefault="00C62E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91" w:rsidRDefault="00C62E4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Pr>
        <w:rFonts w:ascii="Arial" w:hAnsi="Arial"/>
        <w:sz w:val="20"/>
      </w:rPr>
      <w:t>RM6255 Voucher Schemes</w:t>
    </w:r>
    <w:bookmarkStart w:id="17" w:name="_GoBack"/>
    <w:bookmarkEnd w:id="17"/>
    <w:r w:rsidR="00295412">
      <w:rPr>
        <w:rFonts w:ascii="Arial" w:eastAsia="Arial" w:hAnsi="Arial" w:cs="Arial"/>
        <w:sz w:val="20"/>
        <w:szCs w:val="20"/>
      </w:rPr>
      <w:tab/>
    </w:r>
    <w:r w:rsidR="00295412">
      <w:rPr>
        <w:rFonts w:ascii="Arial" w:eastAsia="Arial" w:hAnsi="Arial" w:cs="Arial"/>
        <w:sz w:val="20"/>
        <w:szCs w:val="20"/>
      </w:rPr>
      <w:t xml:space="preserve">                                           </w:t>
    </w:r>
  </w:p>
  <w:p w:rsidR="00BC4591" w:rsidRDefault="002954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62E42">
      <w:rPr>
        <w:rFonts w:ascii="Arial" w:eastAsia="Arial" w:hAnsi="Arial" w:cs="Arial"/>
        <w:color w:val="000000"/>
        <w:sz w:val="20"/>
        <w:szCs w:val="20"/>
      </w:rPr>
      <w:fldChar w:fldCharType="separate"/>
    </w:r>
    <w:r w:rsidR="00C62E42">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BC4591" w:rsidRDefault="00295412">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91" w:rsidRDefault="002954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BC4591" w:rsidRDefault="002954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BC4591" w:rsidRDefault="0029541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412" w:rsidRDefault="00295412">
      <w:pPr>
        <w:spacing w:after="0" w:line="240" w:lineRule="auto"/>
      </w:pPr>
      <w:r>
        <w:separator/>
      </w:r>
    </w:p>
  </w:footnote>
  <w:footnote w:type="continuationSeparator" w:id="0">
    <w:p w:rsidR="00295412" w:rsidRDefault="002954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E42" w:rsidRDefault="00C62E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91" w:rsidRDefault="002954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BC4591" w:rsidRDefault="002954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C62E42">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91" w:rsidRDefault="0029541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1E24"/>
    <w:multiLevelType w:val="multilevel"/>
    <w:tmpl w:val="1D72EA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4CF2734"/>
    <w:multiLevelType w:val="multilevel"/>
    <w:tmpl w:val="5E0EC05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99542C8"/>
    <w:multiLevelType w:val="multilevel"/>
    <w:tmpl w:val="54547BBA"/>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566660"/>
    <w:multiLevelType w:val="multilevel"/>
    <w:tmpl w:val="8E5E2A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D0E1557"/>
    <w:multiLevelType w:val="multilevel"/>
    <w:tmpl w:val="B2B0B5A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F90EE6"/>
    <w:multiLevelType w:val="multilevel"/>
    <w:tmpl w:val="6F94DA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E2B56A9"/>
    <w:multiLevelType w:val="multilevel"/>
    <w:tmpl w:val="9F9EDE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0CF1F59"/>
    <w:multiLevelType w:val="multilevel"/>
    <w:tmpl w:val="92B6F53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31524DA9"/>
    <w:multiLevelType w:val="multilevel"/>
    <w:tmpl w:val="296EDD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4E95EBD"/>
    <w:multiLevelType w:val="multilevel"/>
    <w:tmpl w:val="9BBCE1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29F7690"/>
    <w:multiLevelType w:val="multilevel"/>
    <w:tmpl w:val="98AA47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6935EE2"/>
    <w:multiLevelType w:val="multilevel"/>
    <w:tmpl w:val="AF2485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72138E4"/>
    <w:multiLevelType w:val="multilevel"/>
    <w:tmpl w:val="A2EE293C"/>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F011243"/>
    <w:multiLevelType w:val="multilevel"/>
    <w:tmpl w:val="B37C54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2"/>
  </w:num>
  <w:num w:numId="2">
    <w:abstractNumId w:val="6"/>
  </w:num>
  <w:num w:numId="3">
    <w:abstractNumId w:val="10"/>
  </w:num>
  <w:num w:numId="4">
    <w:abstractNumId w:val="11"/>
  </w:num>
  <w:num w:numId="5">
    <w:abstractNumId w:val="7"/>
  </w:num>
  <w:num w:numId="6">
    <w:abstractNumId w:val="13"/>
  </w:num>
  <w:num w:numId="7">
    <w:abstractNumId w:val="8"/>
  </w:num>
  <w:num w:numId="8">
    <w:abstractNumId w:val="1"/>
  </w:num>
  <w:num w:numId="9">
    <w:abstractNumId w:val="4"/>
  </w:num>
  <w:num w:numId="10">
    <w:abstractNumId w:val="9"/>
  </w:num>
  <w:num w:numId="11">
    <w:abstractNumId w:val="5"/>
  </w:num>
  <w:num w:numId="12">
    <w:abstractNumId w:val="0"/>
  </w:num>
  <w:num w:numId="13">
    <w:abstractNumId w:val="3"/>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591"/>
    <w:rsid w:val="00295412"/>
    <w:rsid w:val="00BC4591"/>
    <w:rsid w:val="00C62E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CA77C84"/>
  <w15:docId w15:val="{1DA6DCA6-C7C0-4759-B50C-9A17BB70E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5260</Words>
  <Characters>29988</Characters>
  <Application>Microsoft Office Word</Application>
  <DocSecurity>0</DocSecurity>
  <Lines>249</Lines>
  <Paragraphs>70</Paragraphs>
  <ScaleCrop>false</ScaleCrop>
  <Company>Cabinet Office</Company>
  <LinksUpToDate>false</LinksUpToDate>
  <CharactersWithSpaces>35178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2020-12-15T16:39:00Z</dcterms:created>
  <dcterms:modified xsi:type="dcterms:W3CDTF">2021-03-01T12:02:00Z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